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color w:val="003366"/>
        </w:rPr>
      </w:pPr>
      <w:r w:rsidDel="00000000" w:rsidR="00000000" w:rsidRPr="00000000">
        <w:rPr>
          <w:b w:val="1"/>
          <w:color w:val="003366"/>
          <w:rtl w:val="0"/>
        </w:rPr>
        <w:t xml:space="preserve">Course Level Objective: Examine methods of exam preparation and explore strategies for coping with text anxiety.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i w:val="1"/>
        </w:rPr>
      </w:pPr>
      <w:r w:rsidDel="00000000" w:rsidR="00000000" w:rsidRPr="00000000">
        <w:rPr>
          <w:i w:val="1"/>
          <w:u w:val="single"/>
          <w:rtl w:val="0"/>
        </w:rPr>
        <w:t xml:space="preserve">Week 8 Objectives</w:t>
      </w:r>
      <w:r w:rsidDel="00000000" w:rsidR="00000000" w:rsidRPr="00000000">
        <w:rPr>
          <w:i w:val="1"/>
          <w:rtl w:val="0"/>
        </w:rPr>
        <w:t xml:space="preserve">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1. Define text anxiety and select strategies for controlling anxiety.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2. Utilize key strategies for effective studying.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3. Learn general strategies to apply when taking tests and quizzes.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4. Develop specific strategies for addressing each type of question and utilize them in a variety of tests.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